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A3238" w14:textId="019C11D1" w:rsidR="0026538E" w:rsidRPr="0026538E" w:rsidRDefault="0026538E" w:rsidP="0026538E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26538E">
        <w:rPr>
          <w:rFonts w:ascii="Arial" w:eastAsia="宋体" w:hAnsi="Arial" w:cs="Arial"/>
          <w:color w:val="333333"/>
          <w:kern w:val="0"/>
          <w:sz w:val="20"/>
          <w:szCs w:val="20"/>
        </w:rPr>
        <w:br/>
      </w:r>
    </w:p>
    <w:p w14:paraId="38CF4E3C" w14:textId="03F91836" w:rsidR="0026538E" w:rsidRPr="004E0E1F" w:rsidRDefault="0026538E" w:rsidP="0026538E">
      <w:pPr>
        <w:widowControl/>
        <w:shd w:val="clear" w:color="auto" w:fill="FFFFFF"/>
        <w:spacing w:beforeAutospacing="1" w:after="100" w:afterAutospacing="1" w:line="390" w:lineRule="atLeast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538E">
        <w:rPr>
          <w:rFonts w:ascii="Arial" w:eastAsia="宋体" w:hAnsi="Arial" w:cs="Arial"/>
          <w:b/>
          <w:bCs/>
          <w:color w:val="333333"/>
          <w:kern w:val="0"/>
          <w:sz w:val="48"/>
          <w:szCs w:val="48"/>
        </w:rPr>
        <w:t>‌</w:t>
      </w:r>
      <w:bookmarkStart w:id="0" w:name="_Hlk179817820"/>
      <w:r w:rsidRPr="004E0E1F">
        <w:rPr>
          <w:rFonts w:ascii="Arial" w:eastAsia="宋体" w:hAnsi="Arial" w:cs="Arial" w:hint="eastAsia"/>
          <w:b/>
          <w:bCs/>
          <w:color w:val="000000" w:themeColor="text1"/>
          <w:kern w:val="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淄博十一中</w:t>
      </w:r>
      <w:hyperlink r:id="rId4" w:tgtFrame="_blank" w:history="1">
        <w:r w:rsidRPr="0026538E">
          <w:rPr>
            <w:rFonts w:ascii="Arial" w:eastAsia="宋体" w:hAnsi="Arial" w:cs="Arial"/>
            <w:b/>
            <w:bCs/>
            <w:color w:val="000000" w:themeColor="text1"/>
            <w:kern w:val="0"/>
            <w:sz w:val="48"/>
            <w:szCs w:val="4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实验室安全应急处置制度</w:t>
        </w:r>
      </w:hyperlink>
      <w:bookmarkEnd w:id="0"/>
    </w:p>
    <w:p w14:paraId="58A30F81" w14:textId="77777777" w:rsidR="004E0E1F" w:rsidRDefault="004E0E1F" w:rsidP="004E0E1F">
      <w:pPr>
        <w:widowControl/>
        <w:shd w:val="clear" w:color="auto" w:fill="FFFFFF"/>
        <w:spacing w:beforeAutospacing="1" w:after="100" w:afterAutospacing="1" w:line="390" w:lineRule="atLeast"/>
        <w:ind w:firstLineChars="200" w:firstLine="720"/>
        <w:jc w:val="left"/>
        <w:rPr>
          <w:rFonts w:ascii="Arial" w:eastAsia="宋体" w:hAnsi="Arial" w:cs="Arial"/>
          <w:bCs/>
          <w:color w:val="333333"/>
          <w:kern w:val="0"/>
          <w:sz w:val="36"/>
          <w:szCs w:val="36"/>
        </w:rPr>
      </w:pPr>
      <w:r w:rsidRPr="004E0E1F">
        <w:rPr>
          <w:rFonts w:ascii="Arial" w:eastAsia="宋体" w:hAnsi="Arial" w:cs="Arial" w:hint="eastAsia"/>
          <w:bCs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淄博十一中</w:t>
      </w:r>
      <w:hyperlink r:id="rId5" w:tgtFrame="_blank" w:history="1">
        <w:r w:rsidRPr="0026538E">
          <w:rPr>
            <w:rFonts w:ascii="Arial" w:eastAsia="宋体" w:hAnsi="Arial" w:cs="Arial"/>
            <w:bCs/>
            <w:color w:val="000000" w:themeColor="text1"/>
            <w:kern w:val="0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实验室安全应急处置制度</w:t>
        </w:r>
      </w:hyperlink>
      <w:r w:rsidRPr="004E0E1F">
        <w:rPr>
          <w:rFonts w:ascii="Arial" w:eastAsia="宋体" w:hAnsi="Arial" w:cs="Arial" w:hint="eastAsia"/>
          <w:bCs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内容</w:t>
      </w:r>
      <w:r w:rsidRPr="004E0E1F">
        <w:rPr>
          <w:rFonts w:ascii="Arial" w:eastAsia="宋体" w:hAnsi="Arial" w:cs="Arial" w:hint="eastAsia"/>
          <w:bCs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</w:t>
      </w:r>
      <w:r w:rsidR="0026538E"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包括预防、应急响应和后续处理三个部分。</w:t>
      </w:r>
      <w:r w:rsidR="0026538E"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‌</w:t>
      </w:r>
    </w:p>
    <w:p w14:paraId="5791424A" w14:textId="1ECB5FC4" w:rsidR="0026538E" w:rsidRPr="0026538E" w:rsidRDefault="0026538E" w:rsidP="004E0E1F">
      <w:pPr>
        <w:widowControl/>
        <w:shd w:val="clear" w:color="auto" w:fill="FFFFFF"/>
        <w:spacing w:beforeAutospacing="1" w:after="100" w:afterAutospacing="1" w:line="390" w:lineRule="atLeast"/>
        <w:ind w:firstLineChars="200" w:firstLine="720"/>
        <w:jc w:val="left"/>
        <w:rPr>
          <w:rFonts w:ascii="Arial" w:eastAsia="宋体" w:hAnsi="Arial" w:cs="Arial"/>
          <w:color w:val="333333"/>
          <w:kern w:val="0"/>
          <w:sz w:val="36"/>
          <w:szCs w:val="36"/>
        </w:rPr>
      </w:pP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首先，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预防措施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是</w:t>
      </w:r>
      <w:r w:rsidR="004E0E1F">
        <w:rPr>
          <w:rFonts w:ascii="Arial" w:eastAsia="宋体" w:hAnsi="Arial" w:cs="Arial" w:hint="eastAsia"/>
          <w:bCs/>
          <w:color w:val="333333"/>
          <w:kern w:val="0"/>
          <w:sz w:val="36"/>
          <w:szCs w:val="36"/>
        </w:rPr>
        <w:t>学校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实验室安全应急处置制度的基础。实验室建立</w:t>
      </w:r>
      <w:r w:rsidR="004E0E1F">
        <w:rPr>
          <w:rFonts w:ascii="Arial" w:eastAsia="宋体" w:hAnsi="Arial" w:cs="Arial" w:hint="eastAsia"/>
          <w:bCs/>
          <w:color w:val="333333"/>
          <w:kern w:val="0"/>
          <w:sz w:val="36"/>
          <w:szCs w:val="36"/>
        </w:rPr>
        <w:t>了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完善的安全管理制度，明确</w:t>
      </w:r>
      <w:r w:rsidR="004E0E1F">
        <w:rPr>
          <w:rFonts w:ascii="Arial" w:eastAsia="宋体" w:hAnsi="Arial" w:cs="Arial" w:hint="eastAsia"/>
          <w:bCs/>
          <w:color w:val="333333"/>
          <w:kern w:val="0"/>
          <w:sz w:val="36"/>
          <w:szCs w:val="36"/>
        </w:rPr>
        <w:t>了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实验室管理人员和操作人员的职责，确保每个实验室都有专门的管理人员负责安全监督和隐患排查。实验室管理人员</w:t>
      </w:r>
      <w:r w:rsidR="004E0E1F">
        <w:rPr>
          <w:rFonts w:ascii="Arial" w:eastAsia="宋体" w:hAnsi="Arial" w:cs="Arial" w:hint="eastAsia"/>
          <w:bCs/>
          <w:color w:val="333333"/>
          <w:kern w:val="0"/>
          <w:sz w:val="36"/>
          <w:szCs w:val="36"/>
        </w:rPr>
        <w:t>做到</w:t>
      </w:r>
      <w:r w:rsidRPr="0026538E">
        <w:rPr>
          <w:rFonts w:ascii="Arial" w:eastAsia="宋体" w:hAnsi="Arial" w:cs="Arial"/>
          <w:bCs/>
          <w:color w:val="333333"/>
          <w:kern w:val="0"/>
          <w:sz w:val="36"/>
          <w:szCs w:val="36"/>
        </w:rPr>
        <w:t>定期检查仪器设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备、电路、电器、水管等设施，及时发现并处理安全隐患。此外，实验指导教师应在教学过程中强调安全操作规程，提高学生的安全意识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。</w:t>
      </w:r>
    </w:p>
    <w:p w14:paraId="7AA8E8B2" w14:textId="49707D7C" w:rsidR="0026538E" w:rsidRPr="0026538E" w:rsidRDefault="0026538E" w:rsidP="004E0E1F">
      <w:pPr>
        <w:widowControl/>
        <w:shd w:val="clear" w:color="auto" w:fill="FFFFFF"/>
        <w:spacing w:before="100" w:beforeAutospacing="1" w:after="100" w:afterAutospacing="1" w:line="390" w:lineRule="atLeast"/>
        <w:ind w:firstLineChars="200" w:firstLine="720"/>
        <w:jc w:val="left"/>
        <w:rPr>
          <w:rFonts w:ascii="Arial" w:eastAsia="宋体" w:hAnsi="Arial" w:cs="Arial"/>
          <w:color w:val="333333"/>
          <w:kern w:val="0"/>
          <w:sz w:val="36"/>
          <w:szCs w:val="36"/>
        </w:rPr>
      </w:pP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其次，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应急响应机制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是</w:t>
      </w:r>
      <w:r w:rsidR="004E0E1F">
        <w:rPr>
          <w:rFonts w:ascii="Arial" w:eastAsia="宋体" w:hAnsi="Arial" w:cs="Arial" w:hint="eastAsia"/>
          <w:color w:val="333333"/>
          <w:kern w:val="0"/>
          <w:sz w:val="36"/>
          <w:szCs w:val="36"/>
        </w:rPr>
        <w:t>学校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实验室安全应急处置制度的关键。一旦发生安全事故，</w:t>
      </w:r>
      <w:r w:rsidR="004E0E1F">
        <w:rPr>
          <w:rFonts w:ascii="Arial" w:eastAsia="宋体" w:hAnsi="Arial" w:cs="Arial" w:hint="eastAsia"/>
          <w:color w:val="333333"/>
          <w:kern w:val="0"/>
          <w:sz w:val="36"/>
          <w:szCs w:val="36"/>
        </w:rPr>
        <w:t>则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立即启动应急预案，迅速组织救援和处理。对于不同类型的突发事件，如火灾、触电等，应有具体的处理流程和操作规程。例如，发生火灾时，应立即切断电源，组织疏散并选择适当的灭火方法；发生触电时，应立即关闭电闸，用绝缘物将触电者与电源隔开，并通知医务室及相关部门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。</w:t>
      </w:r>
    </w:p>
    <w:p w14:paraId="3CF3F05F" w14:textId="1A211EC6" w:rsidR="0026538E" w:rsidRPr="0026538E" w:rsidRDefault="0026538E" w:rsidP="004E0E1F">
      <w:pPr>
        <w:widowControl/>
        <w:shd w:val="clear" w:color="auto" w:fill="FFFFFF"/>
        <w:spacing w:before="100" w:beforeAutospacing="1" w:after="100" w:afterAutospacing="1" w:line="390" w:lineRule="atLeast"/>
        <w:ind w:firstLineChars="200" w:firstLine="720"/>
        <w:jc w:val="left"/>
        <w:rPr>
          <w:rFonts w:ascii="Arial" w:eastAsia="宋体" w:hAnsi="Arial" w:cs="Arial"/>
          <w:color w:val="333333"/>
          <w:kern w:val="0"/>
          <w:sz w:val="36"/>
          <w:szCs w:val="36"/>
        </w:rPr>
      </w:pP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lastRenderedPageBreak/>
        <w:t>最后，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后续处理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是实验室安全应急处置制度的重要环节。事故处理后，应进行善后工作，包括保护现场、数据报送、伤员救治等。同时，应对事故原因进行调查，总结经验教训，避免类似事故再次发生。实验室管理人员和操作人员应熟知应急预案内容，并在紧急情况下能够迅速使用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‌</w:t>
      </w:r>
      <w:r w:rsidRPr="0026538E">
        <w:rPr>
          <w:rFonts w:ascii="Arial" w:eastAsia="宋体" w:hAnsi="Arial" w:cs="Arial"/>
          <w:color w:val="333333"/>
          <w:kern w:val="0"/>
          <w:sz w:val="36"/>
          <w:szCs w:val="36"/>
        </w:rPr>
        <w:t>。</w:t>
      </w:r>
    </w:p>
    <w:p w14:paraId="59D34D80" w14:textId="77777777" w:rsidR="0097301E" w:rsidRPr="0026538E" w:rsidRDefault="0097301E">
      <w:pPr>
        <w:rPr>
          <w:rFonts w:hint="eastAsia"/>
          <w:sz w:val="36"/>
          <w:szCs w:val="36"/>
        </w:rPr>
      </w:pPr>
    </w:p>
    <w:sectPr w:rsidR="0097301E" w:rsidRPr="0026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CF"/>
    <w:rsid w:val="0026538E"/>
    <w:rsid w:val="004E0E1F"/>
    <w:rsid w:val="00502FCF"/>
    <w:rsid w:val="0097301E"/>
    <w:rsid w:val="00973535"/>
    <w:rsid w:val="00AD2C3C"/>
    <w:rsid w:val="00B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4386"/>
  <w15:chartTrackingRefBased/>
  <w15:docId w15:val="{9C583F51-66B1-43DC-BE55-AEECE531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402829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0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idu.com/s?sa=re_dqa_generate&amp;wd=%E5%AE%9E%E9%AA%8C%E5%AE%A4%E5%AE%89%E5%85%A8%E5%BA%94%E6%80%A5%E5%A4%84%E7%BD%AE%E5%88%B6%E5%BA%A6&amp;rsv_pq=8ecf9474001e9baf&amp;oq=%E5%AE%9E%E9%AA%8C%E5%AE%A4%E5%AE%89%E5%85%A8%E5%BA%94%E6%80%A5%E5%A4%84%E7%BD%AE%E5%88%B6%E5%BA%A6%E5%86%85%E5%AE%B9&amp;rsv_t=d81bKr4E+DMYtTQQ+fTLsyu6pnAKbM/Odbtv7i14TnWXwVQEXH8Fs8vo1Ie31OU7jhtYyHnKomUB&amp;tn=49055317_55_hao_pg&amp;ie=utf-8" TargetMode="External"/><Relationship Id="rId4" Type="http://schemas.openxmlformats.org/officeDocument/2006/relationships/hyperlink" Target="https://www.baidu.com/s?sa=re_dqa_generate&amp;wd=%E5%AE%9E%E9%AA%8C%E5%AE%A4%E5%AE%89%E5%85%A8%E5%BA%94%E6%80%A5%E5%A4%84%E7%BD%AE%E5%88%B6%E5%BA%A6&amp;rsv_pq=8ecf9474001e9baf&amp;oq=%E5%AE%9E%E9%AA%8C%E5%AE%A4%E5%AE%89%E5%85%A8%E5%BA%94%E6%80%A5%E5%A4%84%E7%BD%AE%E5%88%B6%E5%BA%A6%E5%86%85%E5%AE%B9&amp;rsv_t=d81bKr4E+DMYtTQQ+fTLsyu6pnAKbM/Odbtv7i14TnWXwVQEXH8Fs8vo1Ie31OU7jhtYyHnKomUB&amp;tn=49055317_55_hao_pg&amp;ie=utf-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2024-10-14T09:01:00Z</dcterms:created>
  <dcterms:modified xsi:type="dcterms:W3CDTF">2024-10-14T09:08:00Z</dcterms:modified>
</cp:coreProperties>
</file>